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One-Pager: Inherent Foundation</w:t>
      </w:r>
    </w:p>
    <w:p>
      <w:pPr>
        <w:pStyle w:val="Heading1"/>
      </w:pPr>
      <w:r>
        <w:t>Name of the Organization</w:t>
      </w:r>
    </w:p>
    <w:p>
      <w:r>
        <w:rPr>
          <w:b/>
        </w:rPr>
        <w:t>Inherent Foundation</w:t>
      </w:r>
    </w:p>
    <w:p>
      <w:pPr>
        <w:pStyle w:val="Heading1"/>
      </w:pPr>
      <w:r>
        <w:t>Who They Are</w:t>
      </w:r>
    </w:p>
    <w:p>
      <w:r>
        <w:t>Inherent Foundation is a philanthropy focused on economic opportunity as the cornerstone of a thriving community. It collaborates with nonprofit organizations and social enterprises in education and workforce development to increase economic mobility for people living in poverty. The foundation says it uses strategic financing, collaborative guidance, and capacity-building support, with a systems-change approach aimed at eradicating inter-generational poverty.</w:t>
      </w:r>
    </w:p>
    <w:p>
      <w:r>
        <w:rPr>
          <w:i/>
        </w:rPr>
        <w:t xml:space="preserve">Source: </w:t>
      </w:r>
      <w:hyperlink r:id="rId9">
        <w:r>
          <w:rPr>
            <w:color w:val="0563C1"/>
            <w:u w:val="single"/>
          </w:rPr>
          <w:t>Inherent Foundation</w:t>
        </w:r>
      </w:hyperlink>
    </w:p>
    <w:p>
      <w:pPr>
        <w:pStyle w:val="Heading1"/>
      </w:pPr>
      <w:r>
        <w:t>Why They Give</w:t>
      </w:r>
    </w:p>
    <w:p>
      <w:r>
        <w:t>To expand economic opportunity and reduce inter-generational poverty by supporting scalable, measurable solutions that help people living in poverty earn family-sustaining wages and contribute meaningfully to society.</w:t>
      </w:r>
    </w:p>
    <w:p>
      <w:r>
        <w:rPr>
          <w:i/>
        </w:rPr>
        <w:t xml:space="preserve">Source: </w:t>
      </w:r>
      <w:hyperlink r:id="rId9">
        <w:r>
          <w:rPr>
            <w:color w:val="0563C1"/>
            <w:u w:val="single"/>
          </w:rPr>
          <w:t>Inherent Foundation</w:t>
        </w:r>
      </w:hyperlink>
    </w:p>
    <w:p>
      <w:pPr>
        <w:pStyle w:val="Heading1"/>
      </w:pPr>
      <w:r>
        <w:t>Who They Fund</w:t>
      </w:r>
    </w:p>
    <w:p>
      <w:r>
        <w:t>Nonprofit organizations and social enterprises, especially those working in education and workforce development. The foundation prioritizes organizations that can measure economic impact and generate earned revenue, and it supports partners at different stages of development.</w:t>
      </w:r>
    </w:p>
    <w:p>
      <w:r>
        <w:rPr>
          <w:i/>
        </w:rPr>
        <w:t xml:space="preserve">Source: </w:t>
      </w:r>
      <w:hyperlink r:id="rId9">
        <w:r>
          <w:rPr>
            <w:color w:val="0563C1"/>
            <w:u w:val="single"/>
          </w:rPr>
          <w:t>Inherent Foundation</w:t>
        </w:r>
      </w:hyperlink>
    </w:p>
    <w:p>
      <w:pPr>
        <w:pStyle w:val="Heading1"/>
      </w:pPr>
      <w:r>
        <w:t>Their Programs (Area of Focus)</w:t>
      </w:r>
    </w:p>
    <w:p>
      <w:r>
        <w:t>Education and workforce development, framed through economic mobility and systems change. The foundation aligns with UN Sustainable Development Goal 8 and focuses on removing systemic barriers to economic opportunity.</w:t>
      </w:r>
    </w:p>
    <w:p>
      <w:r>
        <w:rPr>
          <w:i/>
        </w:rPr>
        <w:t xml:space="preserve">Source: </w:t>
      </w:r>
      <w:hyperlink r:id="rId9">
        <w:r>
          <w:rPr>
            <w:color w:val="0563C1"/>
            <w:u w:val="single"/>
          </w:rPr>
          <w:t>Inherent Foundation</w:t>
        </w:r>
      </w:hyperlink>
    </w:p>
    <w:p>
      <w:pPr>
        <w:pStyle w:val="Heading1"/>
      </w:pPr>
      <w:r>
        <w:t>Areas of Collaboration</w:t>
      </w:r>
    </w:p>
    <w:p>
      <w:r>
        <w:t>Nawiri Foundational Literacy could fit Inherent Foundation's education focus by positioning early-grade literacy as a pathway to long-term economic mobility in Taita Taveta County. A practical collaboration angle is teacher capacity building for structured literacy instruction, because the foundation explicitly offers capacity-building assistance and collaborates with partners pursuing scalable, measurable outcomes. Nawiri could also emphasize evidence tracking for Grade 3 reading gains and how improved foundational literacy supports future workforce readiness.</w:t>
      </w:r>
    </w:p>
    <w:p>
      <w:r>
        <w:rPr>
          <w:i/>
        </w:rPr>
        <w:t xml:space="preserve">Source: </w:t>
      </w:r>
      <w:hyperlink r:id="rId9">
        <w:r>
          <w:rPr>
            <w:color w:val="0563C1"/>
            <w:u w:val="single"/>
          </w:rPr>
          <w:t>Inherent Foundation</w:t>
        </w:r>
      </w:hyperlink>
    </w:p>
    <w:p>
      <w:pPr>
        <w:pStyle w:val="Heading1"/>
      </w:pPr>
      <w:r>
        <w:t>Projects They Have Funded</w:t>
      </w:r>
    </w:p>
    <w:p>
      <w:r>
        <w:t>Not found on public sources</w:t>
      </w:r>
    </w:p>
    <w:p>
      <w:r>
        <w:rPr>
          <w:i/>
        </w:rPr>
        <w:t xml:space="preserve">Source: </w:t>
      </w:r>
      <w:hyperlink r:id="rId9">
        <w:r>
          <w:rPr>
            <w:color w:val="0563C1"/>
            <w:u w:val="single"/>
          </w:rPr>
          <w:t>Inherent Foundation</w:t>
        </w:r>
      </w:hyperlink>
    </w:p>
    <w:p>
      <w:pPr>
        <w:pStyle w:val="Heading1"/>
      </w:pPr>
      <w:r>
        <w:t>Eligibility Criteria</w:t>
      </w:r>
    </w:p>
    <w:p>
      <w:r>
        <w:t>The foundation prioritizes nonprofit organizations and social enterprises, especially those in education and workforce development. It prefers scalable solutions that can measure economic impact and generate earned revenue. It provides donations and PRIs ranging from $25,000 to $1 million and operates through three funding levels: Farm, Catalytic, and Sustaining. Partnership appears to be selective rather than open-call based.</w:t>
      </w:r>
    </w:p>
    <w:p>
      <w:r>
        <w:rPr>
          <w:i/>
        </w:rPr>
        <w:t xml:space="preserve">Source: </w:t>
      </w:r>
      <w:hyperlink r:id="rId9">
        <w:r>
          <w:rPr>
            <w:color w:val="0563C1"/>
            <w:u w:val="single"/>
          </w:rPr>
          <w:t>Inherent Foundation</w:t>
        </w:r>
      </w:hyperlink>
    </w:p>
    <w:p>
      <w:pPr>
        <w:pStyle w:val="Heading1"/>
      </w:pPr>
      <w:r>
        <w:t>Deadline</w:t>
      </w:r>
    </w:p>
    <w:p>
      <w:r>
        <w:t>No public open-call deadline identified; partnership process appears invitation/proactive rather than open application-based.</w:t>
      </w:r>
    </w:p>
    <w:p>
      <w:r>
        <w:rPr>
          <w:i/>
        </w:rPr>
        <w:t xml:space="preserve">Source: </w:t>
      </w:r>
      <w:hyperlink r:id="rId9">
        <w:r>
          <w:rPr>
            <w:color w:val="0563C1"/>
            <w:u w:val="single"/>
          </w:rPr>
          <w:t>Inherent Foundation</w:t>
        </w:r>
      </w:hyperlink>
    </w:p>
    <w:p>
      <w:pPr>
        <w:pStyle w:val="Heading1"/>
      </w:pPr>
      <w:r>
        <w:t>Next Steps</w:t>
      </w:r>
    </w:p>
    <w:p>
      <w:r>
        <w:t>Reach out with a concise concept note that frames Nawiri as an education initiative advancing economic mobility through foundational literacy. Lead with the immediate need for teacher capacity building, the target of 70% of Grade 3 learners reaching grade-level reading comprehension by March 2027, and the scale across 10 public primary schools. Include a simple results framework showing how structured instruction, ability grouping, mentorship, writing/storytelling, libraries, and continuous assessment will be measured. Also position the project as a scalable, evidence-based model aligned to their preference for measurable impact and capacity-building partnerships.</w:t>
      </w:r>
    </w:p>
    <w:p>
      <w:r>
        <w:rPr>
          <w:i/>
        </w:rPr>
        <w:t xml:space="preserve">Source: </w:t>
      </w:r>
      <w:hyperlink r:id="rId9">
        <w:r>
          <w:rPr>
            <w:color w:val="0563C1"/>
            <w:u w:val="single"/>
          </w:rPr>
          <w:t>Inherent Foundation</w:t>
        </w:r>
      </w:hyperlink>
    </w:p>
    <w:p>
      <w:pPr>
        <w:pStyle w:val="Heading1"/>
      </w:pPr>
      <w:r>
        <w:t>Contacts</w:t>
      </w:r>
    </w:p>
    <w:p>
      <w:r>
        <w:t>Not found on public sources</w:t>
      </w:r>
    </w:p>
    <w:p>
      <w:r>
        <w:rPr>
          <w:i/>
        </w:rPr>
        <w:t xml:space="preserve">Source: </w:t>
      </w:r>
      <w:hyperlink r:id="rId9">
        <w:r>
          <w:rPr>
            <w:color w:val="0563C1"/>
            <w:u w:val="single"/>
          </w:rPr>
          <w:t>Inherent Foundation</w:t>
        </w:r>
      </w:hyperlink>
    </w:p>
    <w:p/>
    <w:p>
      <w:pPr>
        <w:jc w:val="center"/>
      </w:pPr>
      <w:r>
        <w:t>—</w:t>
      </w:r>
    </w:p>
    <w:p>
      <w:pPr>
        <w:jc w:val="center"/>
      </w:pPr>
      <w:r>
        <w:rPr>
          <w:color w:val="808080"/>
          <w:sz w:val="18"/>
        </w:rPr>
        <w:t>Generated for Nawiri Foundational Literacy / Elimu Fanaka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inherentgroup.com/inherent-foun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